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2120">
      <w:pPr>
        <w:pStyle w:val="Kpalrs"/>
        <w:numPr>
          <w:ilvl w:val="0"/>
          <w:numId w:val="0"/>
        </w:numPr>
      </w:pPr>
      <w:r>
        <w:t xml:space="preserve">Sütőtökfajták értékelése </w:t>
      </w:r>
      <w:proofErr w:type="spellStart"/>
      <w:r>
        <w:t>beltartalmi</w:t>
      </w:r>
      <w:proofErr w:type="spellEnd"/>
      <w:r>
        <w:t xml:space="preserve"> összetevőik alapján</w:t>
      </w:r>
    </w:p>
    <w:p w:rsidR="00000000" w:rsidRDefault="006D2120">
      <w:pPr>
        <w:pStyle w:val="Szvegtrzs"/>
        <w:tabs>
          <w:tab w:val="left" w:pos="720"/>
          <w:tab w:val="left" w:pos="3960"/>
          <w:tab w:val="left" w:pos="4500"/>
          <w:tab w:val="left" w:pos="4680"/>
        </w:tabs>
        <w:spacing w:before="360"/>
      </w:pPr>
      <w:r>
        <w:t xml:space="preserve"> „A kilenc tökfajta közül kettő a </w:t>
      </w:r>
      <w:proofErr w:type="spellStart"/>
      <w:r>
        <w:rPr>
          <w:i/>
        </w:rPr>
        <w:t>Cucurbita</w:t>
      </w:r>
      <w:proofErr w:type="spellEnd"/>
      <w:r>
        <w:rPr>
          <w:i/>
        </w:rPr>
        <w:t xml:space="preserve"> maxima</w:t>
      </w:r>
      <w:r>
        <w:t xml:space="preserve"> (sütőtök) fajba tartozik, ezek a Nagydobosi és a </w:t>
      </w:r>
      <w:proofErr w:type="spellStart"/>
      <w:r>
        <w:t>Crown</w:t>
      </w:r>
      <w:proofErr w:type="spellEnd"/>
      <w:r>
        <w:t xml:space="preserve"> Prince. A többi a </w:t>
      </w:r>
      <w:proofErr w:type="spellStart"/>
      <w:r>
        <w:rPr>
          <w:i/>
        </w:rPr>
        <w:t>Cucurbita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moschata</w:t>
      </w:r>
      <w:proofErr w:type="spellEnd"/>
      <w:r>
        <w:t xml:space="preserve"> (sonkatök, kanadai tök) fajhoz tartozik, és ezek a követ</w:t>
      </w:r>
      <w:r>
        <w:t xml:space="preserve">kezők: </w:t>
      </w:r>
      <w:proofErr w:type="spellStart"/>
      <w:r>
        <w:t>Sonca</w:t>
      </w:r>
      <w:proofErr w:type="spellEnd"/>
      <w:r>
        <w:t xml:space="preserve">, </w:t>
      </w:r>
      <w:proofErr w:type="spellStart"/>
      <w:r>
        <w:t>Chief</w:t>
      </w:r>
      <w:proofErr w:type="spellEnd"/>
      <w:r>
        <w:t xml:space="preserve">, Barbara, Metro, Sweet </w:t>
      </w:r>
      <w:proofErr w:type="spellStart"/>
      <w:r>
        <w:t>Berry</w:t>
      </w:r>
      <w:proofErr w:type="spellEnd"/>
      <w:r>
        <w:t xml:space="preserve">, </w:t>
      </w:r>
      <w:proofErr w:type="spellStart"/>
      <w:r>
        <w:t>Orange</w:t>
      </w:r>
      <w:proofErr w:type="spellEnd"/>
      <w:r>
        <w:t xml:space="preserve">, és a Bush </w:t>
      </w:r>
      <w:proofErr w:type="spellStart"/>
      <w:r>
        <w:t>Butter</w:t>
      </w:r>
      <w:proofErr w:type="spellEnd"/>
      <w:r>
        <w:t xml:space="preserve"> </w:t>
      </w:r>
      <w:proofErr w:type="spellStart"/>
      <w:r>
        <w:t>Nut</w:t>
      </w:r>
      <w:proofErr w:type="spellEnd"/>
      <w:r>
        <w:t>.”</w:t>
      </w:r>
    </w:p>
    <w:p w:rsidR="00000000" w:rsidRDefault="006D2120">
      <w:pPr>
        <w:pStyle w:val="Szvegtrzs"/>
        <w:spacing w:after="0" w:line="240" w:lineRule="auto"/>
        <w:rPr>
          <w:i/>
        </w:rPr>
      </w:pPr>
      <w:r>
        <w:rPr>
          <w:b/>
          <w:bCs/>
          <w:u w:val="single"/>
        </w:rPr>
        <w:t>Eredmények (</w:t>
      </w:r>
      <w:r>
        <w:rPr>
          <w:i/>
        </w:rPr>
        <w:t>fajták és termőhely összehasonlításban):</w:t>
      </w:r>
    </w:p>
    <w:p w:rsidR="00000000" w:rsidRDefault="006D2120">
      <w:pPr>
        <w:pStyle w:val="Szvegtrzs"/>
        <w:spacing w:after="0" w:line="240" w:lineRule="auto"/>
        <w:rPr>
          <w:b/>
          <w:bCs/>
          <w:u w:val="single"/>
        </w:rPr>
      </w:pPr>
    </w:p>
    <w:p w:rsidR="00000000" w:rsidRDefault="006D2120">
      <w:pPr>
        <w:pStyle w:val="Szvegtrzs"/>
        <w:spacing w:after="0" w:line="240" w:lineRule="auto"/>
      </w:pPr>
      <w:r>
        <w:t xml:space="preserve">Debreceni Egyetem Agrártudományi Centrum Karcagi Kutatóintézet </w:t>
      </w:r>
      <w:r>
        <w:rPr>
          <w:b/>
          <w:bCs/>
        </w:rPr>
        <w:t>(K)</w:t>
      </w:r>
    </w:p>
    <w:p w:rsidR="00000000" w:rsidRDefault="006D2120">
      <w:pPr>
        <w:pStyle w:val="Szvegtrzs"/>
        <w:spacing w:after="0" w:line="240" w:lineRule="auto"/>
        <w:rPr>
          <w:b/>
          <w:bCs/>
        </w:rPr>
      </w:pPr>
      <w:r>
        <w:t>Fertődi Növénynemesítési és Növénytermesztési Kutató I</w:t>
      </w:r>
      <w:r>
        <w:t>ntézet</w:t>
      </w:r>
      <w:r>
        <w:rPr>
          <w:b/>
          <w:bCs/>
        </w:rPr>
        <w:t xml:space="preserve"> (F)</w:t>
      </w:r>
    </w:p>
    <w:p w:rsidR="00000000" w:rsidRDefault="006D2120">
      <w:pPr>
        <w:pStyle w:val="Szvegtrzs"/>
        <w:spacing w:before="360"/>
      </w:pPr>
      <w:r>
        <w:t>„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75pt;height:202.5pt">
            <v:imagedata r:id="rId5" o:title=""/>
          </v:shape>
        </w:pict>
      </w:r>
      <w:r>
        <w:t xml:space="preserve"> </w:t>
      </w:r>
      <w:r>
        <w:pict>
          <v:shape id="_x0000_i1026" type="#_x0000_t75" style="width:325.5pt;height:208.5pt">
            <v:imagedata r:id="rId6" o:title=""/>
          </v:shape>
        </w:pict>
      </w:r>
      <w:r>
        <w:t>”</w:t>
      </w:r>
    </w:p>
    <w:p w:rsidR="00000000" w:rsidRDefault="006D2120">
      <w:pPr>
        <w:pStyle w:val="Szvegtrzs"/>
        <w:spacing w:before="360"/>
      </w:pPr>
      <w:r>
        <w:lastRenderedPageBreak/>
        <w:pict>
          <v:shape id="_x0000_i1027" type="#_x0000_t75" style="width:5in;height:204pt">
            <v:imagedata r:id="rId7" o:title=""/>
          </v:shape>
        </w:pict>
      </w:r>
      <w:r>
        <w:t xml:space="preserve"> </w:t>
      </w:r>
      <w:r>
        <w:pict>
          <v:shape id="_x0000_i1028" type="#_x0000_t75" style="width:348pt;height:198pt">
            <v:imagedata r:id="rId8" o:title=""/>
          </v:shape>
        </w:pict>
      </w:r>
    </w:p>
    <w:p w:rsidR="00000000" w:rsidRDefault="006D2120">
      <w:pPr>
        <w:pStyle w:val="Szvegtrzs"/>
        <w:spacing w:before="360"/>
      </w:pPr>
    </w:p>
    <w:p w:rsidR="00000000" w:rsidRDefault="006D2120">
      <w:pPr>
        <w:pStyle w:val="Szvegtrzs"/>
        <w:spacing w:before="360"/>
      </w:pPr>
      <w:r>
        <w:pict>
          <v:shape id="_x0000_i1029" type="#_x0000_t75" style="width:342pt;height:194.25pt">
            <v:imagedata r:id="rId9" o:title=""/>
          </v:shape>
        </w:pict>
      </w:r>
      <w:r>
        <w:t xml:space="preserve"> </w:t>
      </w:r>
      <w:r>
        <w:pict>
          <v:shape id="_x0000_i1030" type="#_x0000_t75" style="width:347.25pt;height:197.25pt">
            <v:imagedata r:id="rId10" o:title=""/>
          </v:shape>
        </w:pict>
      </w:r>
    </w:p>
    <w:p w:rsidR="00000000" w:rsidRDefault="006D2120">
      <w:pPr>
        <w:pStyle w:val="Szvegtrzs"/>
        <w:spacing w:after="120" w:line="240" w:lineRule="auto"/>
      </w:pPr>
      <w:r>
        <w:rPr>
          <w:highlight w:val="lightGray"/>
        </w:rPr>
        <w:t>A cink számos enzim (pl. inzulin) alkotórésze, valamint gátolja a rákos sejtek szaporodását is.</w:t>
      </w:r>
    </w:p>
    <w:p w:rsidR="00000000" w:rsidRDefault="006D2120">
      <w:pPr>
        <w:pStyle w:val="Szvegtrzs"/>
        <w:spacing w:after="120" w:line="240" w:lineRule="auto"/>
      </w:pPr>
      <w:r>
        <w:lastRenderedPageBreak/>
        <w:pict>
          <v:shape id="_x0000_i1031" type="#_x0000_t75" style="width:333pt;height:189pt">
            <v:imagedata r:id="rId11" o:title=""/>
          </v:shape>
        </w:pict>
      </w:r>
      <w:r>
        <w:t xml:space="preserve">    </w:t>
      </w:r>
    </w:p>
    <w:p w:rsidR="00000000" w:rsidRDefault="006D2120">
      <w:pPr>
        <w:pStyle w:val="Szvegtrzs"/>
        <w:pBdr>
          <w:between w:val="single" w:sz="4" w:space="1" w:color="auto"/>
        </w:pBdr>
      </w:pPr>
      <w:r>
        <w:t xml:space="preserve">„A főbb </w:t>
      </w:r>
      <w:proofErr w:type="spellStart"/>
      <w:r>
        <w:t>karotinoidok</w:t>
      </w:r>
      <w:proofErr w:type="spellEnd"/>
      <w:r>
        <w:t xml:space="preserve"> izolálhatók a sütőtökből. A színért elsősorban a </w:t>
      </w:r>
      <w:proofErr w:type="spellStart"/>
      <w:r>
        <w:t>β-karotin</w:t>
      </w:r>
      <w:proofErr w:type="spellEnd"/>
      <w:r>
        <w:t xml:space="preserve">, az </w:t>
      </w:r>
      <w:proofErr w:type="spellStart"/>
      <w:r>
        <w:t>α-karotin</w:t>
      </w:r>
      <w:proofErr w:type="spellEnd"/>
      <w:r>
        <w:t xml:space="preserve">, valamint a </w:t>
      </w:r>
      <w:proofErr w:type="spellStart"/>
      <w:r>
        <w:t>lutein</w:t>
      </w:r>
      <w:proofErr w:type="spellEnd"/>
      <w:r>
        <w:t xml:space="preserve"> és a </w:t>
      </w:r>
      <w:proofErr w:type="spellStart"/>
      <w:r>
        <w:t>zeaxantin</w:t>
      </w:r>
      <w:proofErr w:type="spellEnd"/>
      <w:r>
        <w:t xml:space="preserve"> </w:t>
      </w:r>
      <w:r>
        <w:t>a felelős (</w:t>
      </w:r>
      <w:proofErr w:type="spellStart"/>
      <w:r>
        <w:t>Gliemmo</w:t>
      </w:r>
      <w:proofErr w:type="spellEnd"/>
      <w:r>
        <w:t xml:space="preserve"> és munkatársai, 2008). Emellett a </w:t>
      </w:r>
      <w:proofErr w:type="spellStart"/>
      <w:r>
        <w:rPr>
          <w:highlight w:val="lightGray"/>
        </w:rPr>
        <w:t>β-karotinnak</w:t>
      </w:r>
      <w:proofErr w:type="spellEnd"/>
      <w:r>
        <w:rPr>
          <w:highlight w:val="lightGray"/>
        </w:rPr>
        <w:t xml:space="preserve"> nagy jelentősége lehet bizonyos rákfajták, érrendszeri betegségek és egyes </w:t>
      </w:r>
      <w:proofErr w:type="spellStart"/>
      <w:r>
        <w:rPr>
          <w:highlight w:val="lightGray"/>
        </w:rPr>
        <w:t>neurodegeneratív</w:t>
      </w:r>
      <w:proofErr w:type="spellEnd"/>
      <w:r>
        <w:rPr>
          <w:highlight w:val="lightGray"/>
        </w:rPr>
        <w:t xml:space="preserve"> betegségek megelőzésében. Antioxidáns tulajdonsággal is rendelkezik, mivel az atomos oxigént megkö</w:t>
      </w:r>
      <w:r>
        <w:rPr>
          <w:highlight w:val="lightGray"/>
        </w:rPr>
        <w:t xml:space="preserve">tve deaktiválja a káros szabad gyököket.  A </w:t>
      </w:r>
      <w:proofErr w:type="spellStart"/>
      <w:r>
        <w:rPr>
          <w:highlight w:val="lightGray"/>
        </w:rPr>
        <w:t>β-karotin</w:t>
      </w:r>
      <w:proofErr w:type="spellEnd"/>
      <w:r>
        <w:rPr>
          <w:highlight w:val="lightGray"/>
        </w:rPr>
        <w:t xml:space="preserve"> a zsírban oldódó </w:t>
      </w:r>
      <w:proofErr w:type="gramStart"/>
      <w:r>
        <w:rPr>
          <w:highlight w:val="lightGray"/>
        </w:rPr>
        <w:t>A</w:t>
      </w:r>
      <w:proofErr w:type="gramEnd"/>
      <w:r>
        <w:rPr>
          <w:highlight w:val="lightGray"/>
        </w:rPr>
        <w:t xml:space="preserve"> vitamin </w:t>
      </w:r>
      <w:proofErr w:type="spellStart"/>
      <w:r>
        <w:rPr>
          <w:highlight w:val="lightGray"/>
        </w:rPr>
        <w:t>prekurzora</w:t>
      </w:r>
      <w:proofErr w:type="spellEnd"/>
      <w:r>
        <w:rPr>
          <w:highlight w:val="lightGray"/>
        </w:rPr>
        <w:t xml:space="preserve">, amelyből a látásban szerepet játszó </w:t>
      </w:r>
      <w:proofErr w:type="spellStart"/>
      <w:r>
        <w:rPr>
          <w:highlight w:val="lightGray"/>
        </w:rPr>
        <w:t>retinál</w:t>
      </w:r>
      <w:proofErr w:type="spellEnd"/>
      <w:r>
        <w:rPr>
          <w:highlight w:val="lightGray"/>
        </w:rPr>
        <w:t xml:space="preserve"> képződik.”</w:t>
      </w:r>
    </w:p>
    <w:p w:rsidR="00000000" w:rsidRDefault="006D2120">
      <w:pPr>
        <w:pStyle w:val="Szvegtrzs"/>
        <w:spacing w:before="360"/>
      </w:pPr>
    </w:p>
    <w:p w:rsidR="00000000" w:rsidRDefault="006D2120">
      <w:pPr>
        <w:pStyle w:val="Szvegtrzs"/>
        <w:spacing w:before="360"/>
      </w:pPr>
      <w:r>
        <w:pict>
          <v:shape id="_x0000_i1032" type="#_x0000_t75" style="width:171pt;height:101.25pt">
            <v:imagedata r:id="rId12" o:title=""/>
          </v:shape>
        </w:pict>
      </w:r>
      <w:r>
        <w:t xml:space="preserve">     </w:t>
      </w:r>
      <w:r>
        <w:pict>
          <v:shape id="_x0000_i1033" type="#_x0000_t75" style="width:171pt;height:100.5pt">
            <v:imagedata r:id="rId13" o:title=""/>
          </v:shape>
        </w:pict>
      </w:r>
      <w:r>
        <w:t xml:space="preserve">           </w:t>
      </w:r>
      <w:r>
        <w:pict>
          <v:shape id="_x0000_i1034" type="#_x0000_t75" style="width:171pt;height:102pt">
            <v:imagedata r:id="rId14" o:title=""/>
          </v:shape>
        </w:pict>
      </w:r>
      <w:r>
        <w:t xml:space="preserve">    </w:t>
      </w:r>
      <w:r>
        <w:pict>
          <v:shape id="_x0000_i1035" type="#_x0000_t75" style="width:171pt;height:101.25pt">
            <v:imagedata r:id="rId15" o:title=""/>
          </v:shape>
        </w:pict>
      </w:r>
    </w:p>
    <w:p w:rsidR="00000000" w:rsidRDefault="006D2120">
      <w:pPr>
        <w:pStyle w:val="Szvegtrzs"/>
        <w:tabs>
          <w:tab w:val="left" w:pos="720"/>
          <w:tab w:val="left" w:pos="3960"/>
          <w:tab w:val="left" w:pos="4500"/>
          <w:tab w:val="left" w:pos="4680"/>
        </w:tabs>
        <w:spacing w:before="360"/>
      </w:pPr>
      <w:r>
        <w:lastRenderedPageBreak/>
        <w:pict>
          <v:shape id="_x0000_i1036" type="#_x0000_t75" style="width:162pt;height:125.25pt">
            <v:imagedata r:id="rId16" o:title=""/>
          </v:shape>
        </w:pict>
      </w:r>
      <w:r>
        <w:t xml:space="preserve">     </w:t>
      </w:r>
      <w:r>
        <w:pict>
          <v:shape id="_x0000_i1037" type="#_x0000_t75" style="width:162pt;height:125.25pt">
            <v:imagedata r:id="rId17" o:title=""/>
          </v:shape>
        </w:pict>
      </w:r>
      <w:r>
        <w:t xml:space="preserve">                </w:t>
      </w:r>
      <w:r>
        <w:pict>
          <v:shape id="_x0000_i1038" type="#_x0000_t75" style="width:162pt;height:126pt">
            <v:imagedata r:id="rId18" o:title=""/>
          </v:shape>
        </w:pict>
      </w:r>
      <w:r>
        <w:t xml:space="preserve">    </w:t>
      </w:r>
      <w:r>
        <w:pict>
          <v:shape id="_x0000_i1039" type="#_x0000_t75" style="width:162pt;height:126pt">
            <v:imagedata r:id="rId19" o:title=""/>
          </v:shape>
        </w:pict>
      </w:r>
    </w:p>
    <w:p w:rsidR="00000000" w:rsidRDefault="006D2120">
      <w:pPr>
        <w:pStyle w:val="Szvegtrzs"/>
        <w:tabs>
          <w:tab w:val="left" w:pos="720"/>
          <w:tab w:val="left" w:pos="3960"/>
          <w:tab w:val="left" w:pos="4500"/>
          <w:tab w:val="left" w:pos="4680"/>
        </w:tabs>
        <w:spacing w:before="360"/>
      </w:pPr>
      <w:r>
        <w:pict>
          <v:shape id="_x0000_i1040" type="#_x0000_t75" style="width:180pt;height:124.5pt">
            <v:imagedata r:id="rId20" o:title=""/>
          </v:shape>
        </w:pict>
      </w:r>
      <w:r>
        <w:t xml:space="preserve">    </w:t>
      </w:r>
      <w:r>
        <w:pict>
          <v:shape id="_x0000_i1041" type="#_x0000_t75" style="width:177pt;height:121.5pt">
            <v:imagedata r:id="rId21" o:title=""/>
          </v:shape>
        </w:pict>
      </w:r>
      <w:r>
        <w:t xml:space="preserve">                 </w:t>
      </w:r>
      <w:r>
        <w:pict>
          <v:shape id="_x0000_i1042" type="#_x0000_t75" style="width:162pt;height:124.5pt">
            <v:imagedata r:id="rId22" o:title=""/>
          </v:shape>
        </w:pict>
      </w:r>
      <w:r>
        <w:t xml:space="preserve">         </w:t>
      </w:r>
      <w:r>
        <w:pict>
          <v:shape id="_x0000_i1043" type="#_x0000_t75" style="width:162pt;height:126pt">
            <v:imagedata r:id="rId23" o:title=""/>
          </v:shape>
        </w:pict>
      </w:r>
    </w:p>
    <w:p w:rsidR="00000000" w:rsidRDefault="006D2120">
      <w:pPr>
        <w:pStyle w:val="Szvegtrzs"/>
        <w:tabs>
          <w:tab w:val="left" w:pos="720"/>
          <w:tab w:val="left" w:pos="3960"/>
          <w:tab w:val="left" w:pos="4500"/>
          <w:tab w:val="left" w:pos="4680"/>
        </w:tabs>
        <w:spacing w:before="360"/>
      </w:pPr>
      <w:r>
        <w:pict>
          <v:shape id="_x0000_i1044" type="#_x0000_t75" style="width:171pt;height:128.25pt">
            <v:imagedata r:id="rId24" o:title=""/>
          </v:shape>
        </w:pict>
      </w:r>
      <w:r>
        <w:t xml:space="preserve">     </w:t>
      </w:r>
      <w:r>
        <w:pict>
          <v:shape id="_x0000_i1045" type="#_x0000_t75" style="width:171pt;height:126.75pt">
            <v:imagedata r:id="rId25" o:title=""/>
          </v:shape>
        </w:pict>
      </w:r>
      <w:r>
        <w:t xml:space="preserve">          </w:t>
      </w:r>
      <w:r>
        <w:t xml:space="preserve">   </w:t>
      </w:r>
      <w:r>
        <w:pict>
          <v:shape id="_x0000_i1046" type="#_x0000_t75" style="width:162pt;height:131.25pt">
            <v:imagedata r:id="rId26" o:title=""/>
          </v:shape>
        </w:pict>
      </w:r>
      <w:r>
        <w:t xml:space="preserve">         </w:t>
      </w:r>
      <w:r>
        <w:pict>
          <v:shape id="_x0000_i1047" type="#_x0000_t75" style="width:162pt;height:131.25pt">
            <v:imagedata r:id="rId27" o:title=""/>
          </v:shape>
        </w:pict>
      </w:r>
    </w:p>
    <w:p w:rsidR="00000000" w:rsidRDefault="006D2120">
      <w:pPr>
        <w:pStyle w:val="Szvegtrzs"/>
        <w:spacing w:after="120" w:line="240" w:lineRule="auto"/>
      </w:pPr>
      <w:r>
        <w:lastRenderedPageBreak/>
        <w:pict>
          <v:shape id="_x0000_i1048" type="#_x0000_t75" style="width:198pt;height:154.5pt">
            <v:imagedata r:id="rId28" o:title=""/>
          </v:shape>
        </w:pict>
      </w:r>
      <w:r>
        <w:t xml:space="preserve">         </w:t>
      </w:r>
      <w:r>
        <w:pict>
          <v:shape id="_x0000_i1049" type="#_x0000_t75" style="width:198pt;height:152.25pt">
            <v:imagedata r:id="rId29" o:title=""/>
          </v:shape>
        </w:pict>
      </w:r>
    </w:p>
    <w:p w:rsidR="00000000" w:rsidRDefault="006D2120">
      <w:pPr>
        <w:pStyle w:val="Szvegtrzs"/>
        <w:pBdr>
          <w:between w:val="single" w:sz="4" w:space="1" w:color="auto"/>
        </w:pBdr>
      </w:pPr>
    </w:p>
    <w:p w:rsidR="00000000" w:rsidRDefault="006D2120">
      <w:pPr>
        <w:pStyle w:val="Kpalrs"/>
        <w:numPr>
          <w:ilvl w:val="0"/>
          <w:numId w:val="0"/>
        </w:numPr>
      </w:pPr>
    </w:p>
    <w:p w:rsidR="00000000" w:rsidRDefault="006D2120">
      <w:pPr>
        <w:pStyle w:val="Kpalrs"/>
        <w:numPr>
          <w:ilvl w:val="0"/>
          <w:numId w:val="0"/>
        </w:numPr>
        <w:rPr>
          <w:b w:val="0"/>
          <w:bCs/>
        </w:rPr>
      </w:pPr>
      <w:r>
        <w:rPr>
          <w:b w:val="0"/>
          <w:bCs/>
        </w:rPr>
        <w:t xml:space="preserve">"Napjainkban az egészséges táplálkozás világszerte egyre növekvő szerepet kap. Egyre inkább felismert az a tény is, hogy napi táplálkozásunkban a </w:t>
      </w:r>
      <w:proofErr w:type="spellStart"/>
      <w:r>
        <w:rPr>
          <w:b w:val="0"/>
          <w:bCs/>
        </w:rPr>
        <w:t>mikrotápanyag-bevitel-</w:t>
      </w:r>
      <w:proofErr w:type="spellEnd"/>
      <w:r>
        <w:rPr>
          <w:b w:val="0"/>
          <w:bCs/>
        </w:rPr>
        <w:t xml:space="preserve"> vitaminok, ásványi anyagok, nyomelemek- mértéke messze elm</w:t>
      </w:r>
      <w:r>
        <w:rPr>
          <w:b w:val="0"/>
          <w:bCs/>
        </w:rPr>
        <w:t xml:space="preserve">arad az emberi szervezet számára szükséges mennyiségektől. Számos betegség, főleg daganatos megbetegedések, szív-és érrendszeri, valamint ízületi betegségek hátterében az </w:t>
      </w:r>
      <w:proofErr w:type="gramStart"/>
      <w:r>
        <w:rPr>
          <w:b w:val="0"/>
          <w:bCs/>
        </w:rPr>
        <w:t>elégtelen táplálkozás</w:t>
      </w:r>
      <w:proofErr w:type="gramEnd"/>
      <w:r>
        <w:rPr>
          <w:b w:val="0"/>
          <w:bCs/>
        </w:rPr>
        <w:t xml:space="preserve"> áll. Ennek egyik oka, hogy eleve kevés gyümölcsöt és zöldségfél</w:t>
      </w:r>
      <w:r>
        <w:rPr>
          <w:b w:val="0"/>
          <w:bCs/>
        </w:rPr>
        <w:t>ét fogyasztunk, másfelől növényi nyersanyagaink az - a Föld népességének gyors növekedése miatti - egyre növekvő mértékű termelés, a talajok kizsákmányolása következtében jóval kevesebb tápanyagot tartalmaznak, mint régen." "..."</w:t>
      </w:r>
    </w:p>
    <w:p w:rsidR="00000000" w:rsidRDefault="006D2120">
      <w:pPr>
        <w:pStyle w:val="Kpalrs"/>
        <w:numPr>
          <w:ilvl w:val="0"/>
          <w:numId w:val="0"/>
        </w:numPr>
        <w:rPr>
          <w:b w:val="0"/>
          <w:bCs/>
        </w:rPr>
      </w:pPr>
      <w:r>
        <w:rPr>
          <w:b w:val="0"/>
          <w:bCs/>
        </w:rPr>
        <w:t>"Főként a fejlettebb orszá</w:t>
      </w:r>
      <w:r>
        <w:rPr>
          <w:b w:val="0"/>
          <w:bCs/>
        </w:rPr>
        <w:t xml:space="preserve">gokban - ahol az életszínvonal is magasabb - egyre nagyobb figyelem fordítódik a </w:t>
      </w:r>
      <w:proofErr w:type="spellStart"/>
      <w:r>
        <w:rPr>
          <w:b w:val="0"/>
          <w:bCs/>
        </w:rPr>
        <w:t>bio</w:t>
      </w:r>
      <w:proofErr w:type="spellEnd"/>
      <w:r>
        <w:rPr>
          <w:b w:val="0"/>
          <w:bCs/>
        </w:rPr>
        <w:t xml:space="preserve"> zöldségtermesztésre és az ezekből készülő </w:t>
      </w:r>
      <w:proofErr w:type="spellStart"/>
      <w:proofErr w:type="gramStart"/>
      <w:r>
        <w:rPr>
          <w:b w:val="0"/>
          <w:bCs/>
        </w:rPr>
        <w:t>bio</w:t>
      </w:r>
      <w:proofErr w:type="spellEnd"/>
      <w:r>
        <w:rPr>
          <w:b w:val="0"/>
          <w:bCs/>
        </w:rPr>
        <w:t xml:space="preserve"> termékekre</w:t>
      </w:r>
      <w:proofErr w:type="gramEnd"/>
      <w:r>
        <w:rPr>
          <w:b w:val="0"/>
          <w:bCs/>
        </w:rPr>
        <w:t xml:space="preserve">. Felismerték azt is, hogy vannak ún. </w:t>
      </w:r>
      <w:proofErr w:type="gramStart"/>
      <w:r>
        <w:rPr>
          <w:b w:val="0"/>
          <w:bCs/>
        </w:rPr>
        <w:t>magas</w:t>
      </w:r>
      <w:proofErr w:type="gramEnd"/>
      <w:r>
        <w:rPr>
          <w:b w:val="0"/>
          <w:bCs/>
        </w:rPr>
        <w:t xml:space="preserve"> biológiai értékű zöldségek, amelyek egy- vagy többféle tápanyag tekinte</w:t>
      </w:r>
      <w:r>
        <w:rPr>
          <w:b w:val="0"/>
          <w:bCs/>
        </w:rPr>
        <w:t xml:space="preserve">tében kiemelkedők, mint például egyes ásványi anyagok, </w:t>
      </w:r>
      <w:proofErr w:type="spellStart"/>
      <w:r>
        <w:rPr>
          <w:b w:val="0"/>
          <w:bCs/>
        </w:rPr>
        <w:t>karotinoidok</w:t>
      </w:r>
      <w:proofErr w:type="spellEnd"/>
      <w:r>
        <w:rPr>
          <w:b w:val="0"/>
          <w:bCs/>
        </w:rPr>
        <w:t xml:space="preserve">, vitaminok. Ilyen zöldségek például a sütőtök, a sárgarépa, a paradicsom, spenót kukorica, zöldbab, karfiol, stb. Ezek népszerű nyersanyagai a </w:t>
      </w:r>
      <w:proofErr w:type="spellStart"/>
      <w:r>
        <w:rPr>
          <w:b w:val="0"/>
          <w:bCs/>
        </w:rPr>
        <w:t>bio</w:t>
      </w:r>
      <w:proofErr w:type="spellEnd"/>
      <w:r>
        <w:rPr>
          <w:b w:val="0"/>
          <w:bCs/>
        </w:rPr>
        <w:t xml:space="preserve"> zöldségleveknek, zöldség pástétomoknak - </w:t>
      </w:r>
      <w:r>
        <w:rPr>
          <w:b w:val="0"/>
          <w:bCs/>
        </w:rPr>
        <w:t>és krémeknek, valamint a bébiételeknek is." "..."</w:t>
      </w:r>
    </w:p>
    <w:p w:rsidR="00000000" w:rsidRDefault="006D2120">
      <w:pPr>
        <w:pStyle w:val="Kpalrs"/>
        <w:numPr>
          <w:ilvl w:val="0"/>
          <w:numId w:val="0"/>
        </w:numPr>
        <w:rPr>
          <w:b w:val="0"/>
          <w:bCs/>
        </w:rPr>
      </w:pPr>
      <w:r>
        <w:rPr>
          <w:b w:val="0"/>
          <w:bCs/>
        </w:rPr>
        <w:t>"Arra kerestem a választ, hogy az egyes sütőtök (</w:t>
      </w:r>
      <w:proofErr w:type="spellStart"/>
      <w:r>
        <w:rPr>
          <w:b w:val="0"/>
          <w:bCs/>
        </w:rPr>
        <w:t>Cucurbita</w:t>
      </w:r>
      <w:proofErr w:type="spellEnd"/>
      <w:r>
        <w:rPr>
          <w:b w:val="0"/>
          <w:bCs/>
        </w:rPr>
        <w:t xml:space="preserve"> maxima) és sütőtökként termesztett sonkatök (</w:t>
      </w:r>
      <w:proofErr w:type="spellStart"/>
      <w:r>
        <w:rPr>
          <w:b w:val="0"/>
          <w:bCs/>
        </w:rPr>
        <w:t>Cucurbita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moschata</w:t>
      </w:r>
      <w:proofErr w:type="spellEnd"/>
      <w:r>
        <w:rPr>
          <w:b w:val="0"/>
          <w:bCs/>
        </w:rPr>
        <w:t xml:space="preserve">) fajták </w:t>
      </w:r>
      <w:proofErr w:type="spellStart"/>
      <w:r>
        <w:rPr>
          <w:b w:val="0"/>
          <w:bCs/>
        </w:rPr>
        <w:t>beltartalmi</w:t>
      </w:r>
      <w:proofErr w:type="spellEnd"/>
      <w:r>
        <w:rPr>
          <w:b w:val="0"/>
          <w:bCs/>
        </w:rPr>
        <w:t xml:space="preserve"> értékeire és egyéb sajátosságaira miként hat és egyáltalán hat </w:t>
      </w:r>
      <w:r>
        <w:rPr>
          <w:b w:val="0"/>
          <w:bCs/>
        </w:rPr>
        <w:t>e maga a termőhely- melyet a talaj minősége, tápanyag-ellátottsága, éghajlati viszonyok határoznak meg." "..."</w:t>
      </w:r>
    </w:p>
    <w:p w:rsidR="00000000" w:rsidRDefault="006D2120">
      <w:pPr>
        <w:pStyle w:val="Kpalrs"/>
        <w:numPr>
          <w:ilvl w:val="0"/>
          <w:numId w:val="0"/>
        </w:numPr>
        <w:rPr>
          <w:b w:val="0"/>
          <w:bCs/>
        </w:rPr>
      </w:pPr>
      <w:r>
        <w:rPr>
          <w:b w:val="0"/>
          <w:bCs/>
        </w:rPr>
        <w:t>"Magyarországon jelenleg államilag elismert, termesztett fajták sütőtökből (</w:t>
      </w:r>
      <w:proofErr w:type="spellStart"/>
      <w:r>
        <w:rPr>
          <w:b w:val="0"/>
          <w:bCs/>
        </w:rPr>
        <w:t>Cucurbita</w:t>
      </w:r>
      <w:proofErr w:type="spellEnd"/>
      <w:r>
        <w:rPr>
          <w:b w:val="0"/>
          <w:bCs/>
        </w:rPr>
        <w:t xml:space="preserve"> maxima </w:t>
      </w:r>
      <w:proofErr w:type="spellStart"/>
      <w:r>
        <w:rPr>
          <w:b w:val="0"/>
          <w:bCs/>
        </w:rPr>
        <w:t>Duch</w:t>
      </w:r>
      <w:proofErr w:type="spellEnd"/>
      <w:r>
        <w:rPr>
          <w:b w:val="0"/>
          <w:bCs/>
        </w:rPr>
        <w:t xml:space="preserve">. </w:t>
      </w:r>
      <w:proofErr w:type="spellStart"/>
      <w:r>
        <w:rPr>
          <w:b w:val="0"/>
          <w:bCs/>
        </w:rPr>
        <w:t>convar</w:t>
      </w:r>
      <w:proofErr w:type="spellEnd"/>
      <w:r>
        <w:rPr>
          <w:b w:val="0"/>
          <w:bCs/>
        </w:rPr>
        <w:t xml:space="preserve"> maxima) a Nagydobosi, a Kiszombori és a</w:t>
      </w:r>
      <w:r>
        <w:rPr>
          <w:b w:val="0"/>
          <w:bCs/>
        </w:rPr>
        <w:t>z Óvári hengeres. "</w:t>
      </w:r>
    </w:p>
    <w:p w:rsidR="00000000" w:rsidRDefault="006D2120">
      <w:pPr>
        <w:pStyle w:val="Kpalrs"/>
        <w:numPr>
          <w:ilvl w:val="0"/>
          <w:numId w:val="0"/>
        </w:numPr>
        <w:rPr>
          <w:b w:val="0"/>
          <w:bCs/>
        </w:rPr>
      </w:pPr>
    </w:p>
    <w:p w:rsidR="00000000" w:rsidRDefault="006D2120">
      <w:pPr>
        <w:pStyle w:val="Kpalrs"/>
        <w:numPr>
          <w:ilvl w:val="0"/>
          <w:numId w:val="0"/>
        </w:numPr>
        <w:rPr>
          <w:b w:val="0"/>
          <w:bCs/>
        </w:rPr>
      </w:pPr>
      <w:r>
        <w:rPr>
          <w:b w:val="0"/>
          <w:bCs/>
        </w:rPr>
        <w:lastRenderedPageBreak/>
        <w:t>„2. táblázat:</w:t>
      </w:r>
      <w:r>
        <w:rPr>
          <w:b w:val="0"/>
          <w:bCs/>
          <w:i/>
        </w:rPr>
        <w:tab/>
        <w:t>Fontosabb zöldségfélék főbb összetevői</w:t>
      </w:r>
      <w:r>
        <w:rPr>
          <w:b w:val="0"/>
          <w:bCs/>
        </w:rPr>
        <w:t xml:space="preserve"> (</w:t>
      </w:r>
      <w:proofErr w:type="spellStart"/>
      <w:r>
        <w:rPr>
          <w:b w:val="0"/>
          <w:bCs/>
        </w:rPr>
        <w:t>Rodler</w:t>
      </w:r>
      <w:proofErr w:type="spellEnd"/>
      <w:r>
        <w:rPr>
          <w:b w:val="0"/>
          <w:bCs/>
        </w:rPr>
        <w:t>, 2005)</w:t>
      </w:r>
    </w:p>
    <w:p w:rsidR="00000000" w:rsidRDefault="006D2120">
      <w:pPr>
        <w:outlineLvl w:val="0"/>
        <w:rPr>
          <w:rFonts w:ascii="Arial" w:hAnsi="Arial" w:cs="Arial"/>
          <w:bCs/>
        </w:rPr>
      </w:pPr>
    </w:p>
    <w:p w:rsidR="00000000" w:rsidRDefault="006D2120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2"/>
        <w:gridCol w:w="636"/>
        <w:gridCol w:w="906"/>
        <w:gridCol w:w="895"/>
        <w:gridCol w:w="1173"/>
        <w:gridCol w:w="761"/>
        <w:gridCol w:w="850"/>
        <w:gridCol w:w="576"/>
        <w:gridCol w:w="576"/>
        <w:gridCol w:w="772"/>
        <w:gridCol w:w="806"/>
        <w:gridCol w:w="850"/>
        <w:gridCol w:w="614"/>
        <w:gridCol w:w="606"/>
        <w:gridCol w:w="576"/>
        <w:gridCol w:w="636"/>
        <w:gridCol w:w="606"/>
      </w:tblGrid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36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17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4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6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15" w:type="dxa"/>
            <w:gridSpan w:val="6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Vitaminok</w:t>
            </w:r>
          </w:p>
        </w:tc>
        <w:tc>
          <w:tcPr>
            <w:tcW w:w="2990" w:type="dxa"/>
            <w:gridSpan w:val="5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Ásványi anyagok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Megnevezés</w:t>
            </w:r>
          </w:p>
        </w:tc>
        <w:tc>
          <w:tcPr>
            <w:tcW w:w="636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Víz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839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Energia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kJ</w:t>
            </w:r>
          </w:p>
        </w:tc>
        <w:tc>
          <w:tcPr>
            <w:tcW w:w="817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Fehérje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074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Szénhidrát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56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Élelmi rost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829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Karotin mg</w:t>
            </w:r>
          </w:p>
        </w:tc>
        <w:tc>
          <w:tcPr>
            <w:tcW w:w="576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1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576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2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752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Niacin</w:t>
            </w:r>
            <w:proofErr w:type="spellEnd"/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</w:t>
            </w:r>
          </w:p>
        </w:tc>
        <w:tc>
          <w:tcPr>
            <w:tcW w:w="752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Folsav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830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C-vitamin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</w:t>
            </w:r>
          </w:p>
        </w:tc>
        <w:tc>
          <w:tcPr>
            <w:tcW w:w="614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</w:t>
            </w:r>
          </w:p>
        </w:tc>
        <w:tc>
          <w:tcPr>
            <w:tcW w:w="576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Ca</w:t>
            </w:r>
            <w:proofErr w:type="spellEnd"/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</w:t>
            </w:r>
          </w:p>
        </w:tc>
        <w:tc>
          <w:tcPr>
            <w:tcW w:w="576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</w:t>
            </w:r>
          </w:p>
        </w:tc>
        <w:tc>
          <w:tcPr>
            <w:tcW w:w="636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Fe</w:t>
            </w:r>
            <w:proofErr w:type="spellEnd"/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</w:t>
            </w:r>
          </w:p>
        </w:tc>
        <w:tc>
          <w:tcPr>
            <w:tcW w:w="576" w:type="dxa"/>
          </w:tcPr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</w:p>
          <w:p w:rsidR="00000000" w:rsidRDefault="006D2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Brokkoli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92,7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3,3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2,1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110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324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87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0,77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59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Burgonya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75,7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395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2,5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18,4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2,98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70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0,50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55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Cékla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90,9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130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1,3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5,9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4,24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73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87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0,60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Cukkíni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91,1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134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1,5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5,3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2,40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,39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76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Csemegekukorica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67,7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550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4,7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23,6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8,80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0,10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57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1,80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120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0,60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38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Fejes káposzta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91,1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134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1,6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5,7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2,47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0,04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31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50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216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0,30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Görögdinnye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91,5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122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0,5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6,5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0,2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2,2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147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19,4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0,20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Kar</w:t>
            </w:r>
            <w:r>
              <w:rPr>
                <w:rFonts w:ascii="Arial" w:hAnsi="Arial" w:cs="Arial"/>
                <w:bCs/>
                <w:sz w:val="20"/>
                <w:szCs w:val="20"/>
              </w:rPr>
              <w:t>alábé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88,9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164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2,1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6,9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0,30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70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70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43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0,70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67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Karfiol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91,6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126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2,4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3,9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2,37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0,20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0,50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34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55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175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0,30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Paradicsom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93,7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97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1,0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4,0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1,73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0,80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0,50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0,27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Paraj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93,2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84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2,3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1,8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4,27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4,20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66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526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133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53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2,90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160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Patisszon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91,2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130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1,2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6,2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0,10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3,00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29,3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29,6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13,5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0,65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8,35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Petrezselyemgyökér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90,4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126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1,2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1,2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7,43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0,10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3,00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298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56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0,30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Sárgarépa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88,5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168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1,2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8,1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3,27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12,0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1,50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360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0,70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43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Sóska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>2,4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2,4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2,3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5,10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3,50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0,30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113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1,60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70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Spárgatök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91,2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130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1,1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6,1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2,40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0,30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98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0,20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Sütőtök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80,0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336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1,5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16,5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4,00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1,00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0,17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Uborka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96,0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1,0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1,7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1,90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0,20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0,10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36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Zellergumó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91,4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121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1,4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5,0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5,38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0,02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1,40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34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0,04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88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Vöröshagyma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89,1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168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1,2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8,3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2,05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0,03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80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1,20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Zöldbab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88,1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172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2,6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6,8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3,03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0,30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41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229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0,70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Zöldborsó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75,0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378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7,0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14,0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8,76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1,00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325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41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0,90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110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Zöldpaprika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93,5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84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1,2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3,0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2,25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0,20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120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0,40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</w:t>
            </w:r>
          </w:p>
        </w:tc>
      </w:tr>
      <w:tr w:rsidR="00000000">
        <w:tc>
          <w:tcPr>
            <w:tcW w:w="2162" w:type="dxa"/>
          </w:tcPr>
          <w:p w:rsidR="00000000" w:rsidRDefault="006D21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Csiperkegomba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89,0</w:t>
            </w:r>
          </w:p>
        </w:tc>
        <w:tc>
          <w:tcPr>
            <w:tcW w:w="83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168</w:t>
            </w:r>
          </w:p>
        </w:tc>
        <w:tc>
          <w:tcPr>
            <w:tcW w:w="817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5,9</w:t>
            </w:r>
          </w:p>
        </w:tc>
        <w:tc>
          <w:tcPr>
            <w:tcW w:w="107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3,3</w:t>
            </w:r>
          </w:p>
        </w:tc>
        <w:tc>
          <w:tcPr>
            <w:tcW w:w="75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829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0,01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440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4,50</w:t>
            </w:r>
          </w:p>
        </w:tc>
        <w:tc>
          <w:tcPr>
            <w:tcW w:w="752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830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614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63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1,00</w:t>
            </w:r>
          </w:p>
        </w:tc>
        <w:tc>
          <w:tcPr>
            <w:tcW w:w="576" w:type="dxa"/>
          </w:tcPr>
          <w:p w:rsidR="00000000" w:rsidRDefault="006D21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120</w:t>
            </w:r>
          </w:p>
        </w:tc>
      </w:tr>
    </w:tbl>
    <w:p w:rsidR="00000000" w:rsidRDefault="006D2120">
      <w:pPr>
        <w:rPr>
          <w:bCs/>
        </w:rPr>
      </w:pPr>
      <w:r>
        <w:rPr>
          <w:bCs/>
        </w:rPr>
        <w:t>„</w:t>
      </w:r>
    </w:p>
    <w:p w:rsidR="00000000" w:rsidRDefault="006D2120">
      <w:pPr>
        <w:rPr>
          <w:bCs/>
        </w:rPr>
      </w:pPr>
      <w:r>
        <w:rPr>
          <w:bCs/>
          <w:highlight w:val="green"/>
        </w:rPr>
        <w:t>A színek kiemelése a nyári idényszakon túli termékeket</w:t>
      </w:r>
      <w:r>
        <w:rPr>
          <w:bCs/>
          <w:highlight w:val="green"/>
        </w:rPr>
        <w:t xml:space="preserve"> jelöltük.</w:t>
      </w:r>
    </w:p>
    <w:p w:rsidR="00000000" w:rsidRDefault="006D2120">
      <w:pPr>
        <w:rPr>
          <w:bCs/>
        </w:rPr>
      </w:pPr>
    </w:p>
    <w:p w:rsidR="00000000" w:rsidRDefault="006D2120">
      <w:pPr>
        <w:pStyle w:val="Szvegtrzs"/>
        <w:pBdr>
          <w:between w:val="single" w:sz="4" w:space="1" w:color="auto"/>
        </w:pBdr>
      </w:pPr>
      <w:r>
        <w:t xml:space="preserve">„A főbb </w:t>
      </w:r>
      <w:proofErr w:type="spellStart"/>
      <w:r>
        <w:t>karotinoidok</w:t>
      </w:r>
      <w:proofErr w:type="spellEnd"/>
      <w:r>
        <w:t xml:space="preserve"> izolálhatók a sütőtökből. A színért elsősorban a </w:t>
      </w:r>
      <w:proofErr w:type="spellStart"/>
      <w:r>
        <w:t>β-karotin</w:t>
      </w:r>
      <w:proofErr w:type="spellEnd"/>
      <w:r>
        <w:t xml:space="preserve">, az </w:t>
      </w:r>
      <w:proofErr w:type="spellStart"/>
      <w:r>
        <w:t>α-karotin</w:t>
      </w:r>
      <w:proofErr w:type="spellEnd"/>
      <w:r>
        <w:t xml:space="preserve">, valamint a </w:t>
      </w:r>
      <w:proofErr w:type="spellStart"/>
      <w:r>
        <w:t>lutein</w:t>
      </w:r>
      <w:proofErr w:type="spellEnd"/>
      <w:r>
        <w:t xml:space="preserve"> és a </w:t>
      </w:r>
      <w:proofErr w:type="spellStart"/>
      <w:r>
        <w:t>zeaxantin</w:t>
      </w:r>
      <w:proofErr w:type="spellEnd"/>
      <w:r>
        <w:t xml:space="preserve"> a felelős (</w:t>
      </w:r>
      <w:proofErr w:type="spellStart"/>
      <w:r>
        <w:t>Gliemmo</w:t>
      </w:r>
      <w:proofErr w:type="spellEnd"/>
      <w:r>
        <w:t xml:space="preserve"> és munkatársai, 2008). Emellett a </w:t>
      </w:r>
      <w:proofErr w:type="spellStart"/>
      <w:r>
        <w:rPr>
          <w:highlight w:val="lightGray"/>
        </w:rPr>
        <w:t>β-karotinnak</w:t>
      </w:r>
      <w:proofErr w:type="spellEnd"/>
      <w:r>
        <w:rPr>
          <w:highlight w:val="lightGray"/>
        </w:rPr>
        <w:t xml:space="preserve"> nagy jelentősége lehet bizonyos rákfajták, érrends</w:t>
      </w:r>
      <w:r>
        <w:rPr>
          <w:highlight w:val="lightGray"/>
        </w:rPr>
        <w:t xml:space="preserve">zeri betegségek és egyes </w:t>
      </w:r>
      <w:proofErr w:type="spellStart"/>
      <w:r>
        <w:rPr>
          <w:highlight w:val="lightGray"/>
        </w:rPr>
        <w:t>neurodegeneratív</w:t>
      </w:r>
      <w:proofErr w:type="spellEnd"/>
      <w:r>
        <w:rPr>
          <w:highlight w:val="lightGray"/>
        </w:rPr>
        <w:t xml:space="preserve"> betegségek megelőzésében. Antioxidáns tulajdonsággal is rendelkezik, mivel az atomos oxigént megkötve deaktiválja a káros szabad gyököket.  A </w:t>
      </w:r>
      <w:proofErr w:type="spellStart"/>
      <w:r>
        <w:rPr>
          <w:highlight w:val="lightGray"/>
        </w:rPr>
        <w:t>β-karotin</w:t>
      </w:r>
      <w:proofErr w:type="spellEnd"/>
      <w:r>
        <w:rPr>
          <w:highlight w:val="lightGray"/>
        </w:rPr>
        <w:t xml:space="preserve"> a zsírban oldódó </w:t>
      </w:r>
      <w:proofErr w:type="gramStart"/>
      <w:r>
        <w:rPr>
          <w:highlight w:val="lightGray"/>
        </w:rPr>
        <w:t>A</w:t>
      </w:r>
      <w:proofErr w:type="gramEnd"/>
      <w:r>
        <w:rPr>
          <w:highlight w:val="lightGray"/>
        </w:rPr>
        <w:t xml:space="preserve"> vitamin </w:t>
      </w:r>
      <w:proofErr w:type="spellStart"/>
      <w:r>
        <w:rPr>
          <w:highlight w:val="lightGray"/>
        </w:rPr>
        <w:t>prekurzora</w:t>
      </w:r>
      <w:proofErr w:type="spellEnd"/>
      <w:r>
        <w:rPr>
          <w:highlight w:val="lightGray"/>
        </w:rPr>
        <w:t>, amelyből a látásban sze</w:t>
      </w:r>
      <w:r>
        <w:rPr>
          <w:highlight w:val="lightGray"/>
        </w:rPr>
        <w:t xml:space="preserve">repet játszó </w:t>
      </w:r>
      <w:proofErr w:type="spellStart"/>
      <w:r>
        <w:rPr>
          <w:highlight w:val="lightGray"/>
        </w:rPr>
        <w:t>retinál</w:t>
      </w:r>
      <w:proofErr w:type="spellEnd"/>
      <w:r>
        <w:rPr>
          <w:highlight w:val="lightGray"/>
        </w:rPr>
        <w:t xml:space="preserve"> képződik.”</w:t>
      </w:r>
    </w:p>
    <w:p w:rsidR="00000000" w:rsidRDefault="006D2120">
      <w:pPr>
        <w:pStyle w:val="Szvegtrzs"/>
        <w:spacing w:before="360"/>
      </w:pPr>
      <w:r>
        <w:lastRenderedPageBreak/>
        <w:t xml:space="preserve">„Kevés figyelem fordítódott azonban még arra, hogy a sütőtök esetében a </w:t>
      </w:r>
      <w:proofErr w:type="spellStart"/>
      <w:r>
        <w:t>beltartalmi</w:t>
      </w:r>
      <w:proofErr w:type="spellEnd"/>
      <w:r>
        <w:t xml:space="preserve"> értékek mennyire különbözőek </w:t>
      </w:r>
      <w:r>
        <w:rPr>
          <w:i/>
        </w:rPr>
        <w:t>az egyes fajták között</w:t>
      </w:r>
      <w:r>
        <w:t>, van e lényeges különbség egyáltalán attól függően, hogy melyik fajtáról van szó. Érdeke</w:t>
      </w:r>
      <w:r>
        <w:t xml:space="preserve">s kérdés lehet az is, hogy hogyan befolyásolják, és befolyásolják-e az adott </w:t>
      </w:r>
      <w:r>
        <w:rPr>
          <w:i/>
        </w:rPr>
        <w:t>termőhely tulajdonságai</w:t>
      </w:r>
      <w:r>
        <w:t>- talaj, klíma, termesztés- a sütőtökök kémiai összetételét és minőségét.”</w:t>
      </w:r>
    </w:p>
    <w:p w:rsidR="00000000" w:rsidRDefault="006D2120">
      <w:pPr>
        <w:pStyle w:val="Szvegtrzs"/>
        <w:spacing w:before="360"/>
      </w:pPr>
      <w:r>
        <w:t xml:space="preserve">„Az egyik termőhely a </w:t>
      </w:r>
      <w:r>
        <w:rPr>
          <w:b/>
          <w:bCs/>
        </w:rPr>
        <w:t>Debreceni Egyetem Agrártudományi Centrum Karcagi Kutatóinté</w:t>
      </w:r>
      <w:r>
        <w:rPr>
          <w:b/>
          <w:bCs/>
        </w:rPr>
        <w:t>zethez</w:t>
      </w:r>
      <w:r>
        <w:t xml:space="preserve"> (K) tartozik, amely növénynemesítéssel foglalkozik a Közép-Tiszavidék és az Észak- Alföld kedvezőtlen ökológiai adottságait jól hasznosító, gazdaságosan termeszthető növényfajták előállítása céljából (Internet-6.). A másik magyarországi termőhely pe</w:t>
      </w:r>
      <w:r>
        <w:t xml:space="preserve">dig a </w:t>
      </w:r>
      <w:r>
        <w:rPr>
          <w:b/>
          <w:bCs/>
        </w:rPr>
        <w:t>Fertődi Növénynemesítési és Növénytermesztési Kutató Intézet (F)</w:t>
      </w:r>
      <w:r>
        <w:t xml:space="preserve"> területe, az ország észak-nyugati részén található. A két termőhelynek igen eltérő klimatikus adottságai vannak, amely kihathat a sütőtök </w:t>
      </w:r>
      <w:proofErr w:type="spellStart"/>
      <w:r>
        <w:t>beltartalmi</w:t>
      </w:r>
      <w:proofErr w:type="spellEnd"/>
      <w:r>
        <w:t xml:space="preserve"> értékeinek alakulására- az elvégzet</w:t>
      </w:r>
      <w:r>
        <w:t xml:space="preserve">t méréseim részben ezt hivatottak vizsgálni. </w:t>
      </w:r>
      <w:r>
        <w:rPr>
          <w:i/>
        </w:rPr>
        <w:t>Karcag</w:t>
      </w:r>
      <w:r>
        <w:t xml:space="preserve"> </w:t>
      </w:r>
      <w:proofErr w:type="gramStart"/>
      <w:r>
        <w:t>környékén-mely</w:t>
      </w:r>
      <w:proofErr w:type="gramEnd"/>
      <w:r>
        <w:t xml:space="preserve"> az Alföldön található- jellemzően több a napsütéses órák száma, kevesebb a felhőzet, a csapadék mennyisége szűkös és változékony, valamint az éves </w:t>
      </w:r>
      <w:proofErr w:type="spellStart"/>
      <w:r>
        <w:t>hőingás</w:t>
      </w:r>
      <w:proofErr w:type="spellEnd"/>
      <w:r>
        <w:t xml:space="preserve"> elég magas (meleg nyár, hideg tél)</w:t>
      </w:r>
      <w:r>
        <w:t xml:space="preserve">. Ugyanakkor </w:t>
      </w:r>
      <w:r>
        <w:rPr>
          <w:i/>
        </w:rPr>
        <w:t>Fertőd</w:t>
      </w:r>
      <w:r>
        <w:t xml:space="preserve"> a Kisalföldön helyezkedik el, melynek éghajlata kiegyensúlyozottabb, kisebb a hőmérséklet éves ingadozása, erősebb az óceáni hatás. Ezáltal itt több a felhő, több a csapadék, magas a relatív nedvesség, viszont kevesebb a napsütéses órák</w:t>
      </w:r>
      <w:r>
        <w:t xml:space="preserve"> száma (Internet-7.).”</w:t>
      </w:r>
    </w:p>
    <w:p w:rsidR="00000000" w:rsidRDefault="006D2120">
      <w:pPr>
        <w:pStyle w:val="Kpalrs"/>
        <w:numPr>
          <w:ilvl w:val="0"/>
          <w:numId w:val="0"/>
        </w:numPr>
      </w:pPr>
      <w:r>
        <w:t xml:space="preserve">Szakdolgozati eredmény, mely eredményt a szerző hozzájárulásával most rövidítve közre adjuk. </w:t>
      </w:r>
    </w:p>
    <w:p w:rsidR="00000000" w:rsidRDefault="006D2120">
      <w:pPr>
        <w:pStyle w:val="Kpalrs"/>
        <w:numPr>
          <w:ilvl w:val="0"/>
          <w:numId w:val="0"/>
        </w:numPr>
      </w:pPr>
    </w:p>
    <w:p w:rsidR="00000000" w:rsidRDefault="006D2120">
      <w:pPr>
        <w:pStyle w:val="Kpalrs"/>
        <w:numPr>
          <w:ilvl w:val="0"/>
          <w:numId w:val="0"/>
        </w:numPr>
      </w:pPr>
      <w:r>
        <w:t xml:space="preserve">Budapesti </w:t>
      </w:r>
      <w:proofErr w:type="spellStart"/>
      <w:r>
        <w:t>Corvinus</w:t>
      </w:r>
      <w:proofErr w:type="spellEnd"/>
      <w:r>
        <w:t xml:space="preserve"> Egyetem/ </w:t>
      </w:r>
      <w:proofErr w:type="spellStart"/>
      <w:r>
        <w:t>Élelmiszertudományi</w:t>
      </w:r>
      <w:proofErr w:type="spellEnd"/>
      <w:r>
        <w:t xml:space="preserve"> Kar/ Konzervtechnológiai tanszék/ Tartósítóipari technológia és minőségügy </w:t>
      </w:r>
      <w:proofErr w:type="spellStart"/>
      <w:r>
        <w:t>szairány</w:t>
      </w:r>
      <w:proofErr w:type="spellEnd"/>
    </w:p>
    <w:p w:rsidR="00000000" w:rsidRDefault="006D2120">
      <w:pPr>
        <w:pStyle w:val="Kpalrs"/>
        <w:numPr>
          <w:ilvl w:val="0"/>
          <w:numId w:val="0"/>
        </w:numPr>
      </w:pPr>
      <w:r>
        <w:t>Balogh</w:t>
      </w:r>
      <w:r>
        <w:t xml:space="preserve"> Levente/ hallgató</w:t>
      </w:r>
    </w:p>
    <w:p w:rsidR="00000000" w:rsidRDefault="006D2120">
      <w:pPr>
        <w:pStyle w:val="Kpalrs"/>
        <w:numPr>
          <w:ilvl w:val="0"/>
          <w:numId w:val="0"/>
        </w:numPr>
      </w:pPr>
      <w:r>
        <w:t xml:space="preserve">A szakdolgozat címe: Sütőtökfajták értékelése </w:t>
      </w:r>
      <w:proofErr w:type="spellStart"/>
      <w:r>
        <w:t>beltartalmi</w:t>
      </w:r>
      <w:proofErr w:type="spellEnd"/>
      <w:r>
        <w:t xml:space="preserve"> összetevőik alapján</w:t>
      </w:r>
    </w:p>
    <w:p w:rsidR="00000000" w:rsidRDefault="006D2120">
      <w:pPr>
        <w:pStyle w:val="Kpalrs"/>
        <w:numPr>
          <w:ilvl w:val="0"/>
          <w:numId w:val="0"/>
        </w:numPr>
      </w:pPr>
      <w:r>
        <w:t xml:space="preserve">Témavezető: </w:t>
      </w:r>
      <w:proofErr w:type="spellStart"/>
      <w:r>
        <w:t>Stégerné</w:t>
      </w:r>
      <w:proofErr w:type="spellEnd"/>
      <w:r>
        <w:t xml:space="preserve"> dr. Máté Mónika</w:t>
      </w:r>
    </w:p>
    <w:p w:rsidR="00000000" w:rsidRDefault="006D2120">
      <w:pPr>
        <w:pStyle w:val="Kpalrs"/>
        <w:numPr>
          <w:ilvl w:val="0"/>
          <w:numId w:val="0"/>
        </w:numPr>
      </w:pPr>
      <w:r>
        <w:t xml:space="preserve">Tanszéki felelős: </w:t>
      </w:r>
      <w:proofErr w:type="spellStart"/>
      <w:r>
        <w:t>Stégerné</w:t>
      </w:r>
      <w:proofErr w:type="spellEnd"/>
      <w:r>
        <w:t xml:space="preserve"> dr. Máté Mónika</w:t>
      </w:r>
    </w:p>
    <w:p w:rsidR="00000000" w:rsidRDefault="006D2120">
      <w:pPr>
        <w:pStyle w:val="Kpalrs"/>
        <w:numPr>
          <w:ilvl w:val="0"/>
          <w:numId w:val="0"/>
        </w:numPr>
      </w:pPr>
      <w:r>
        <w:t>Budapest, 2009. november</w:t>
      </w:r>
    </w:p>
    <w:p w:rsidR="006D2120" w:rsidRDefault="006D2120">
      <w:pPr>
        <w:rPr>
          <w:bCs/>
        </w:rPr>
      </w:pPr>
    </w:p>
    <w:sectPr w:rsidR="006D2120">
      <w:pgSz w:w="16838" w:h="11906" w:orient="landscape" w:code="9"/>
      <w:pgMar w:top="1079" w:right="458" w:bottom="54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1AC2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7E4F6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F1A60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BD2C5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9A8C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4683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5C8D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BEC0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D23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F1E26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829FD"/>
    <w:multiLevelType w:val="multilevel"/>
    <w:tmpl w:val="D2EE9C16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049209B9"/>
    <w:multiLevelType w:val="multilevel"/>
    <w:tmpl w:val="372862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5E12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42F0AF3"/>
    <w:multiLevelType w:val="hybridMultilevel"/>
    <w:tmpl w:val="6936DCFC"/>
    <w:lvl w:ilvl="0" w:tplc="4CD4C192">
      <w:start w:val="1"/>
      <w:numFmt w:val="decimal"/>
      <w:lvlText w:val="%1. táblázat: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D761D1"/>
    <w:multiLevelType w:val="multilevel"/>
    <w:tmpl w:val="2104E5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3344334"/>
    <w:multiLevelType w:val="hybridMultilevel"/>
    <w:tmpl w:val="7674DA20"/>
    <w:lvl w:ilvl="0" w:tplc="90383F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C69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5390721"/>
    <w:multiLevelType w:val="multilevel"/>
    <w:tmpl w:val="6936DCFC"/>
    <w:lvl w:ilvl="0">
      <w:start w:val="1"/>
      <w:numFmt w:val="decimal"/>
      <w:lvlText w:val="%1. táblázat: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443C8"/>
    <w:multiLevelType w:val="multilevel"/>
    <w:tmpl w:val="7B5E64A6"/>
    <w:lvl w:ilvl="0">
      <w:start w:val="1"/>
      <w:numFmt w:val="decimal"/>
      <w:pStyle w:val="Cmsor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3A981244"/>
    <w:multiLevelType w:val="hybridMultilevel"/>
    <w:tmpl w:val="397A78C6"/>
    <w:lvl w:ilvl="0" w:tplc="B046E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7A0A6C"/>
    <w:multiLevelType w:val="multilevel"/>
    <w:tmpl w:val="C386652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1">
    <w:nsid w:val="42CD70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7AC5032"/>
    <w:multiLevelType w:val="multilevel"/>
    <w:tmpl w:val="1A244FA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3">
    <w:nsid w:val="49E64C0C"/>
    <w:multiLevelType w:val="multilevel"/>
    <w:tmpl w:val="BDFCFB4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4">
    <w:nsid w:val="50C13DC2"/>
    <w:multiLevelType w:val="multilevel"/>
    <w:tmpl w:val="F27E864C"/>
    <w:lvl w:ilvl="0">
      <w:start w:val="2"/>
      <w:numFmt w:val="none"/>
      <w:lvlText w:val="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5">
    <w:nsid w:val="59B245CE"/>
    <w:multiLevelType w:val="hybridMultilevel"/>
    <w:tmpl w:val="3CBECAAE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0B5466A"/>
    <w:multiLevelType w:val="hybridMultilevel"/>
    <w:tmpl w:val="D98C750C"/>
    <w:lvl w:ilvl="0" w:tplc="D85276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576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84F7085"/>
    <w:multiLevelType w:val="multilevel"/>
    <w:tmpl w:val="F27E864C"/>
    <w:lvl w:ilvl="0">
      <w:start w:val="2"/>
      <w:numFmt w:val="none"/>
      <w:lvlText w:val="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9">
    <w:nsid w:val="68681B98"/>
    <w:multiLevelType w:val="multilevel"/>
    <w:tmpl w:val="194A938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0">
    <w:nsid w:val="68BC4029"/>
    <w:multiLevelType w:val="multilevel"/>
    <w:tmpl w:val="A6DE037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1">
    <w:nsid w:val="68C35F50"/>
    <w:multiLevelType w:val="multilevel"/>
    <w:tmpl w:val="45B6E9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B63133E"/>
    <w:multiLevelType w:val="multilevel"/>
    <w:tmpl w:val="149C2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3">
    <w:nsid w:val="77A24BB1"/>
    <w:multiLevelType w:val="hybridMultilevel"/>
    <w:tmpl w:val="271E16A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8309B3"/>
    <w:multiLevelType w:val="multilevel"/>
    <w:tmpl w:val="3AA42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5">
    <w:nsid w:val="7B0842FC"/>
    <w:multiLevelType w:val="multilevel"/>
    <w:tmpl w:val="B21A19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34"/>
  </w:num>
  <w:num w:numId="4">
    <w:abstractNumId w:val="27"/>
  </w:num>
  <w:num w:numId="5">
    <w:abstractNumId w:val="16"/>
  </w:num>
  <w:num w:numId="6">
    <w:abstractNumId w:val="31"/>
  </w:num>
  <w:num w:numId="7">
    <w:abstractNumId w:val="21"/>
  </w:num>
  <w:num w:numId="8">
    <w:abstractNumId w:val="12"/>
  </w:num>
  <w:num w:numId="9">
    <w:abstractNumId w:val="11"/>
  </w:num>
  <w:num w:numId="10">
    <w:abstractNumId w:val="18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6"/>
  </w:num>
  <w:num w:numId="22">
    <w:abstractNumId w:val="19"/>
  </w:num>
  <w:num w:numId="23">
    <w:abstractNumId w:val="35"/>
  </w:num>
  <w:num w:numId="24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24"/>
  </w:num>
  <w:num w:numId="27">
    <w:abstractNumId w:val="14"/>
  </w:num>
  <w:num w:numId="28">
    <w:abstractNumId w:val="20"/>
  </w:num>
  <w:num w:numId="29">
    <w:abstractNumId w:val="22"/>
  </w:num>
  <w:num w:numId="30">
    <w:abstractNumId w:val="30"/>
  </w:num>
  <w:num w:numId="31">
    <w:abstractNumId w:val="32"/>
  </w:num>
  <w:num w:numId="32">
    <w:abstractNumId w:val="23"/>
  </w:num>
  <w:num w:numId="33">
    <w:abstractNumId w:val="29"/>
  </w:num>
  <w:num w:numId="3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7"/>
  </w:num>
  <w:num w:numId="38">
    <w:abstractNumId w:val="25"/>
  </w:num>
  <w:num w:numId="3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F65"/>
    <w:rsid w:val="005E2F65"/>
    <w:rsid w:val="006D2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paragraph" w:styleId="Cmsor1">
    <w:name w:val="heading 1"/>
    <w:basedOn w:val="Norml"/>
    <w:next w:val="Norml"/>
    <w:qFormat/>
    <w:pPr>
      <w:keepNext/>
      <w:pageBreakBefore/>
      <w:numPr>
        <w:numId w:val="10"/>
      </w:numPr>
      <w:spacing w:after="240" w:line="360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0"/>
      </w:numPr>
      <w:spacing w:after="240" w:line="360" w:lineRule="auto"/>
      <w:jc w:val="both"/>
      <w:outlineLvl w:val="1"/>
    </w:pPr>
    <w:rPr>
      <w:b/>
      <w:szCs w:val="24"/>
    </w:rPr>
  </w:style>
  <w:style w:type="paragraph" w:styleId="Cmsor3">
    <w:name w:val="heading 3"/>
    <w:basedOn w:val="Norml"/>
    <w:next w:val="Norml"/>
    <w:qFormat/>
    <w:pPr>
      <w:keepNext/>
      <w:numPr>
        <w:ilvl w:val="2"/>
        <w:numId w:val="10"/>
      </w:numPr>
      <w:spacing w:after="120" w:line="360" w:lineRule="auto"/>
      <w:jc w:val="both"/>
      <w:outlineLvl w:val="2"/>
    </w:pPr>
    <w:rPr>
      <w:szCs w:val="24"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Cmsor5">
    <w:name w:val="heading 5"/>
    <w:basedOn w:val="Norml"/>
    <w:next w:val="Norml"/>
    <w:qFormat/>
    <w:pPr>
      <w:numPr>
        <w:ilvl w:val="4"/>
        <w:numId w:val="1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qFormat/>
    <w:pPr>
      <w:numPr>
        <w:ilvl w:val="5"/>
        <w:numId w:val="10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Cmsor7">
    <w:name w:val="heading 7"/>
    <w:basedOn w:val="Norml"/>
    <w:next w:val="Norml"/>
    <w:qFormat/>
    <w:pPr>
      <w:numPr>
        <w:ilvl w:val="6"/>
        <w:numId w:val="10"/>
      </w:numPr>
      <w:spacing w:before="240" w:after="60"/>
      <w:outlineLvl w:val="6"/>
    </w:pPr>
    <w:rPr>
      <w:rFonts w:ascii="Calibri" w:hAnsi="Calibri"/>
      <w:szCs w:val="24"/>
    </w:rPr>
  </w:style>
  <w:style w:type="paragraph" w:styleId="Cmsor8">
    <w:name w:val="heading 8"/>
    <w:basedOn w:val="Norml"/>
    <w:next w:val="Norml"/>
    <w:qFormat/>
    <w:pPr>
      <w:numPr>
        <w:ilvl w:val="7"/>
        <w:numId w:val="10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Cmsor9">
    <w:name w:val="heading 9"/>
    <w:basedOn w:val="Norml"/>
    <w:next w:val="Norml"/>
    <w:qFormat/>
    <w:pPr>
      <w:numPr>
        <w:ilvl w:val="8"/>
        <w:numId w:val="10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qFormat/>
    <w:pPr>
      <w:numPr>
        <w:numId w:val="21"/>
      </w:numPr>
      <w:spacing w:line="360" w:lineRule="auto"/>
      <w:jc w:val="both"/>
    </w:pPr>
    <w:rPr>
      <w:b/>
      <w:szCs w:val="24"/>
    </w:rPr>
  </w:style>
  <w:style w:type="paragraph" w:customStyle="1" w:styleId="TableCaption">
    <w:name w:val="Table Caption"/>
    <w:basedOn w:val="Kpalrs"/>
    <w:qFormat/>
    <w:pPr>
      <w:keepNext/>
      <w:numPr>
        <w:numId w:val="36"/>
      </w:numPr>
      <w:tabs>
        <w:tab w:val="num" w:pos="360"/>
      </w:tabs>
    </w:pPr>
  </w:style>
  <w:style w:type="paragraph" w:styleId="Szvegtrzs">
    <w:name w:val="Body Text"/>
    <w:basedOn w:val="Norml"/>
    <w:semiHidden/>
    <w:pPr>
      <w:spacing w:after="360" w:line="360" w:lineRule="auto"/>
      <w:jc w:val="both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965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</vt:lpstr>
    </vt:vector>
  </TitlesOfParts>
  <Company>GM</Company>
  <LinksUpToDate>false</LinksUpToDate>
  <CharactersWithSpaces>7612</CharactersWithSpaces>
  <SharedDoc>false</SharedDoc>
  <HLinks>
    <vt:vector size="108" baseType="variant">
      <vt:variant>
        <vt:i4>0</vt:i4>
      </vt:variant>
      <vt:variant>
        <vt:i4>3370</vt:i4>
      </vt:variant>
      <vt:variant>
        <vt:i4>1032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3382</vt:i4>
      </vt:variant>
      <vt:variant>
        <vt:i4>1033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3406</vt:i4>
      </vt:variant>
      <vt:variant>
        <vt:i4>1034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3416</vt:i4>
      </vt:variant>
      <vt:variant>
        <vt:i4>1035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3420</vt:i4>
      </vt:variant>
      <vt:variant>
        <vt:i4>1036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3432</vt:i4>
      </vt:variant>
      <vt:variant>
        <vt:i4>1037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3466</vt:i4>
      </vt:variant>
      <vt:variant>
        <vt:i4>1038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3476</vt:i4>
      </vt:variant>
      <vt:variant>
        <vt:i4>1039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3480</vt:i4>
      </vt:variant>
      <vt:variant>
        <vt:i4>1040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3490</vt:i4>
      </vt:variant>
      <vt:variant>
        <vt:i4>1041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3526</vt:i4>
      </vt:variant>
      <vt:variant>
        <vt:i4>1042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3546</vt:i4>
      </vt:variant>
      <vt:variant>
        <vt:i4>1043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3550</vt:i4>
      </vt:variant>
      <vt:variant>
        <vt:i4>1044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3562</vt:i4>
      </vt:variant>
      <vt:variant>
        <vt:i4>1045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3590</vt:i4>
      </vt:variant>
      <vt:variant>
        <vt:i4>1046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3610</vt:i4>
      </vt:variant>
      <vt:variant>
        <vt:i4>1047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3614</vt:i4>
      </vt:variant>
      <vt:variant>
        <vt:i4>1048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3634</vt:i4>
      </vt:variant>
      <vt:variant>
        <vt:i4>1049</vt:i4>
      </vt:variant>
      <vt:variant>
        <vt:i4>1</vt:i4>
      </vt:variant>
      <vt:variant>
        <vt:lpwstr/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Toshiba</dc:creator>
  <cp:keywords/>
  <dc:description/>
  <cp:lastModifiedBy>Civertan</cp:lastModifiedBy>
  <cp:revision>2</cp:revision>
  <dcterms:created xsi:type="dcterms:W3CDTF">2014-02-17T08:42:00Z</dcterms:created>
  <dcterms:modified xsi:type="dcterms:W3CDTF">2014-02-17T08:42:00Z</dcterms:modified>
</cp:coreProperties>
</file>